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46" w:rsidRPr="00605446" w:rsidRDefault="00605446" w:rsidP="003B7059">
      <w:pPr>
        <w:spacing w:after="0"/>
        <w:jc w:val="center"/>
        <w:rPr>
          <w:b/>
          <w:sz w:val="28"/>
          <w:szCs w:val="28"/>
        </w:rPr>
      </w:pPr>
      <w:r w:rsidRPr="00605446">
        <w:rPr>
          <w:b/>
          <w:sz w:val="28"/>
          <w:szCs w:val="28"/>
        </w:rPr>
        <w:t>Jednací a hlasovací řád</w:t>
      </w:r>
    </w:p>
    <w:p w:rsidR="00937A65" w:rsidRDefault="006D7694" w:rsidP="00665F5D">
      <w:pPr>
        <w:spacing w:after="0"/>
        <w:jc w:val="center"/>
        <w:rPr>
          <w:b/>
          <w:bCs/>
          <w:color w:val="000000"/>
          <w:sz w:val="28"/>
          <w:szCs w:val="28"/>
          <w:lang w:eastAsia="cs-CZ"/>
        </w:rPr>
      </w:pPr>
      <w:r w:rsidRPr="006D7694">
        <w:rPr>
          <w:b/>
          <w:bCs/>
          <w:color w:val="000000"/>
          <w:sz w:val="28"/>
          <w:szCs w:val="28"/>
          <w:lang w:eastAsia="cs-CZ"/>
        </w:rPr>
        <w:t xml:space="preserve">Společenství </w:t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</w:r>
      <w:r w:rsidR="008B7252">
        <w:rPr>
          <w:b/>
          <w:bCs/>
          <w:color w:val="000000"/>
          <w:sz w:val="28"/>
          <w:szCs w:val="28"/>
          <w:lang w:eastAsia="cs-CZ"/>
        </w:rPr>
        <w:softHyphen/>
        <w:t>__________</w:t>
      </w:r>
    </w:p>
    <w:p w:rsidR="003B7059" w:rsidRDefault="003B7059" w:rsidP="00605446">
      <w:pPr>
        <w:spacing w:after="0"/>
        <w:jc w:val="both"/>
        <w:rPr>
          <w:b/>
          <w:bCs/>
          <w:color w:val="000000"/>
          <w:sz w:val="28"/>
          <w:szCs w:val="28"/>
          <w:lang w:eastAsia="cs-CZ"/>
        </w:rPr>
      </w:pPr>
    </w:p>
    <w:p w:rsidR="00605446" w:rsidRPr="00605446" w:rsidRDefault="00605446" w:rsidP="00605446">
      <w:pPr>
        <w:spacing w:after="0"/>
        <w:jc w:val="both"/>
        <w:rPr>
          <w:i/>
        </w:rPr>
      </w:pPr>
      <w:r w:rsidRPr="00605446">
        <w:rPr>
          <w:i/>
        </w:rPr>
        <w:t>Jednací a hlasovací řád je vydáván s cílem upřesnit a ujednotit výklad ustanovení Stanov společenství při jeho shromážděních, především při prezenci, průběhu jednání, projednávání stanovených bodů programu a při volbě statutárních orgánů společenství.</w:t>
      </w:r>
    </w:p>
    <w:p w:rsidR="00924A0B" w:rsidRPr="00605446" w:rsidRDefault="00924A0B" w:rsidP="00605446">
      <w:pPr>
        <w:spacing w:after="0"/>
        <w:jc w:val="both"/>
      </w:pPr>
    </w:p>
    <w:p w:rsidR="00605446" w:rsidRDefault="00605446" w:rsidP="00605446">
      <w:pPr>
        <w:spacing w:after="0"/>
        <w:jc w:val="center"/>
        <w:rPr>
          <w:b/>
        </w:rPr>
      </w:pPr>
      <w:r w:rsidRPr="00605446">
        <w:rPr>
          <w:b/>
        </w:rPr>
        <w:t>I. Prezence na schůzi shromáždění</w:t>
      </w:r>
    </w:p>
    <w:p w:rsidR="00605446" w:rsidRPr="00605446" w:rsidRDefault="00605446" w:rsidP="00605446">
      <w:pPr>
        <w:spacing w:after="0"/>
        <w:jc w:val="center"/>
        <w:rPr>
          <w:b/>
        </w:rPr>
      </w:pPr>
    </w:p>
    <w:p w:rsidR="00605446" w:rsidRDefault="00605446" w:rsidP="00605446">
      <w:pPr>
        <w:pStyle w:val="Odstavecseseznamem"/>
        <w:numPr>
          <w:ilvl w:val="0"/>
          <w:numId w:val="1"/>
        </w:numPr>
        <w:spacing w:after="0"/>
        <w:jc w:val="both"/>
      </w:pPr>
      <w:r w:rsidRPr="00605446">
        <w:t>Vlastník jednotky nebo jeho zástupce je povinen se prezentovat před zahájením shromáždění, svou přítomnost potvrdit podpisem v prezenční listině. Přitom je povinen prokázat svoji totožnost platným dokladem (občanský průkaz, pas).</w:t>
      </w:r>
      <w:r>
        <w:t xml:space="preserve"> </w:t>
      </w:r>
      <w:r w:rsidRPr="00605446">
        <w:t>Po zahájení shromáždění bude prezenční listina uzavřena. Vlastníci jedn</w:t>
      </w:r>
      <w:r>
        <w:t>otek, kteří se dostaví k prezen</w:t>
      </w:r>
      <w:r w:rsidRPr="00605446">
        <w:t xml:space="preserve">ci po uzavření prezenční listiny, již nebudou </w:t>
      </w:r>
      <w:r>
        <w:t>zapsáni do prezenční listiny</w:t>
      </w:r>
      <w:r w:rsidRPr="00605446">
        <w:t xml:space="preserve"> z důvodů dodržení časového harmonogramu jednání shromáždění. </w:t>
      </w:r>
    </w:p>
    <w:p w:rsidR="00605446" w:rsidRDefault="00605446" w:rsidP="00605446">
      <w:pPr>
        <w:pStyle w:val="Odstavecseseznamem"/>
        <w:numPr>
          <w:ilvl w:val="0"/>
          <w:numId w:val="1"/>
        </w:numPr>
        <w:spacing w:after="0"/>
        <w:jc w:val="both"/>
      </w:pPr>
      <w:r w:rsidRPr="00605446">
        <w:t>Vlastník jednotky se můž</w:t>
      </w:r>
      <w:r>
        <w:t xml:space="preserve">e zúčastnit shromáždění osobně </w:t>
      </w:r>
      <w:r w:rsidRPr="00605446">
        <w:t>nebo prostřednictvím zástupce na základě plné moci. Zástupce, který zastupuje vlastníka jednotky na základě plné moci, je povinen plnou moc, podepsanou zastoupeným vlastníkem, odevzdat při prezenci.</w:t>
      </w:r>
    </w:p>
    <w:p w:rsidR="00605446" w:rsidRDefault="00605446" w:rsidP="00605446">
      <w:pPr>
        <w:pStyle w:val="Odstavecseseznamem"/>
        <w:numPr>
          <w:ilvl w:val="0"/>
          <w:numId w:val="1"/>
        </w:numPr>
        <w:spacing w:after="0"/>
        <w:jc w:val="both"/>
      </w:pPr>
      <w:r w:rsidRPr="00605446">
        <w:t>Vlastník jednotky</w:t>
      </w:r>
      <w:r>
        <w:t xml:space="preserve"> nebo jeho zástupce</w:t>
      </w:r>
      <w:r w:rsidRPr="00605446">
        <w:t xml:space="preserve"> potvrdí svou přítomnost pod</w:t>
      </w:r>
      <w:r>
        <w:t xml:space="preserve">pisem do listiny přítomných. </w:t>
      </w:r>
    </w:p>
    <w:p w:rsidR="006241DE" w:rsidRDefault="00605446" w:rsidP="00605446">
      <w:pPr>
        <w:pStyle w:val="Odstavecseseznamem"/>
        <w:numPr>
          <w:ilvl w:val="0"/>
          <w:numId w:val="1"/>
        </w:numPr>
        <w:spacing w:after="0"/>
        <w:jc w:val="both"/>
      </w:pPr>
      <w:r w:rsidRPr="00605446">
        <w:t>Pokud vlastník jednotky nebo zástupce opustí jednání před jeho ukončením, je povinen to oznámit zapisovateli. Pokud bude shromáždění i nadále usnášeníschopné, bude pokračovat projednávání dalších bodů programu s tím, že jeho hlasy nebudou započteny.</w:t>
      </w:r>
    </w:p>
    <w:p w:rsidR="006241DE" w:rsidRDefault="006241DE" w:rsidP="00605446">
      <w:pPr>
        <w:pStyle w:val="Odstavecseseznamem"/>
        <w:numPr>
          <w:ilvl w:val="0"/>
          <w:numId w:val="1"/>
        </w:numPr>
        <w:spacing w:after="0"/>
        <w:jc w:val="both"/>
      </w:pPr>
      <w:r w:rsidRPr="006241DE">
        <w:lastRenderedPageBreak/>
        <w:t>Pokud vlastník jednotky nebo zástupce opustí shromáždění před jeho ukončením jednání bez oznámení zapisovateli, bude se mít za to, že je jednání přítomen a jeho hlasy</w:t>
      </w:r>
      <w:r>
        <w:t xml:space="preserve"> budou v zápisu hodnoceny jako neplatné. </w:t>
      </w:r>
    </w:p>
    <w:p w:rsidR="006241DE" w:rsidRDefault="006241DE" w:rsidP="006241DE">
      <w:pPr>
        <w:spacing w:after="0"/>
        <w:ind w:left="360"/>
        <w:jc w:val="both"/>
      </w:pPr>
    </w:p>
    <w:p w:rsidR="006241DE" w:rsidRPr="006241DE" w:rsidRDefault="006241DE" w:rsidP="006241DE">
      <w:pPr>
        <w:spacing w:after="0"/>
        <w:ind w:left="360"/>
        <w:jc w:val="center"/>
        <w:rPr>
          <w:b/>
        </w:rPr>
      </w:pPr>
      <w:r w:rsidRPr="006241DE">
        <w:rPr>
          <w:b/>
        </w:rPr>
        <w:t>II. Jednání shromáždění</w:t>
      </w:r>
    </w:p>
    <w:p w:rsidR="006241DE" w:rsidRDefault="006241DE" w:rsidP="006241DE">
      <w:pPr>
        <w:spacing w:after="0"/>
        <w:ind w:left="360"/>
        <w:jc w:val="both"/>
      </w:pPr>
    </w:p>
    <w:p w:rsidR="006241DE" w:rsidRDefault="006241DE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6241DE">
        <w:t xml:space="preserve">Jednání shromáždění řídí </w:t>
      </w:r>
      <w:r>
        <w:t>pověřený člen výboru</w:t>
      </w:r>
      <w:r w:rsidRPr="006241DE">
        <w:t>, určený výborem společenství z řad jeho členů. Ten dále řídí jednání v souladu s programem, uvedeným na pozvánce na shromáždění.</w:t>
      </w:r>
    </w:p>
    <w:p w:rsidR="006241DE" w:rsidRDefault="00605446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605446">
        <w:t>Pověřený člen výboru zahájí jednání shromáždění a oznámí přítomným vlastníkům jednotek, zda je shromáždění scho</w:t>
      </w:r>
      <w:r w:rsidR="006241DE">
        <w:t>pné se usnášet podle zákona č. 89</w:t>
      </w:r>
      <w:r w:rsidRPr="00605446">
        <w:t>/</w:t>
      </w:r>
      <w:r w:rsidR="006241DE">
        <w:t>2012</w:t>
      </w:r>
      <w:r w:rsidRPr="00605446">
        <w:t xml:space="preserve"> Sb., </w:t>
      </w:r>
      <w:r w:rsidR="006241DE">
        <w:t>občanský zákoník</w:t>
      </w:r>
      <w:r w:rsidRPr="00605446">
        <w:t>, v platném znění (dále jen „zákon“)</w:t>
      </w:r>
      <w:r w:rsidR="006241DE">
        <w:t xml:space="preserve"> a podle stanov společenství, tedy zda jsou přítomni vlastníci jednotek, kteří mají alespoň 50% všech hlasů.</w:t>
      </w:r>
      <w:r w:rsidRPr="00605446">
        <w:t xml:space="preserve"> Nebudou-l</w:t>
      </w:r>
      <w:r w:rsidR="006241DE">
        <w:t>i splněny podmínky pro usnášení</w:t>
      </w:r>
      <w:r w:rsidRPr="00605446">
        <w:t xml:space="preserve">schopnost shromáždění, oznámí pověřený člen výboru datum, místo a čas konání náhradního shromáždění. </w:t>
      </w:r>
    </w:p>
    <w:p w:rsidR="00C3613A" w:rsidRDefault="00C3613A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C3613A">
        <w:t>Shromáždění začíná schválením programu jednání. Každý vlastník má právo při prezenci předložit písemně návrh na doplnění programu jednání. O doplnění programu se provádí hlasování.</w:t>
      </w:r>
    </w:p>
    <w:p w:rsidR="00C3613A" w:rsidRDefault="00C3613A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C3613A">
        <w:t>Každý bod programu se projednává samostatně. Projednání zahrnuje úvodní vystoupení předkladatele, diskusi a závěrečné hlasování.</w:t>
      </w:r>
    </w:p>
    <w:p w:rsidR="00C3613A" w:rsidRDefault="00C3613A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C3613A">
        <w:t>V diskusi má každý vlastník právo uplatnit svůj názor na projednávaný problém. Vzhledem k počtu vlastníků je doba di</w:t>
      </w:r>
      <w:r>
        <w:t>skusního vystoupení omezena na 5 minut</w:t>
      </w:r>
      <w:r w:rsidRPr="00C3613A">
        <w:t xml:space="preserve"> s tím, že k danému </w:t>
      </w:r>
      <w:r w:rsidRPr="00C3613A">
        <w:lastRenderedPageBreak/>
        <w:t>bodu programu může tentýž vlastník vystoupit maximálně dvakrát.</w:t>
      </w:r>
    </w:p>
    <w:p w:rsidR="006241DE" w:rsidRDefault="00C3613A" w:rsidP="006241DE">
      <w:pPr>
        <w:pStyle w:val="Odstavecseseznamem"/>
        <w:numPr>
          <w:ilvl w:val="0"/>
          <w:numId w:val="3"/>
        </w:numPr>
        <w:spacing w:after="0"/>
        <w:jc w:val="both"/>
      </w:pPr>
      <w:r>
        <w:t>Po schválení programu jednání přednese p</w:t>
      </w:r>
      <w:r w:rsidR="00605446" w:rsidRPr="00605446">
        <w:t xml:space="preserve">ověřený člen výboru návrh na </w:t>
      </w:r>
      <w:r w:rsidR="006241DE">
        <w:t xml:space="preserve">volbu </w:t>
      </w:r>
      <w:r w:rsidR="00605446" w:rsidRPr="00605446">
        <w:t>předsedajícího shromáždění (dále jen „předseda“)</w:t>
      </w:r>
      <w:r w:rsidR="006241DE">
        <w:t>, ověřovatele zápisu a skrutátory</w:t>
      </w:r>
      <w:r w:rsidR="00786144">
        <w:t xml:space="preserve"> (sčitatele hlasů)</w:t>
      </w:r>
      <w:r w:rsidR="006241DE">
        <w:t xml:space="preserve"> a nechá o něm hlasovat. </w:t>
      </w:r>
    </w:p>
    <w:p w:rsidR="00C3613A" w:rsidRDefault="006241DE" w:rsidP="006241DE">
      <w:pPr>
        <w:pStyle w:val="Odstavecseseznamem"/>
        <w:numPr>
          <w:ilvl w:val="0"/>
          <w:numId w:val="3"/>
        </w:numPr>
        <w:spacing w:after="0"/>
        <w:jc w:val="both"/>
      </w:pPr>
      <w:r>
        <w:t>Takto z</w:t>
      </w:r>
      <w:r w:rsidR="00605446" w:rsidRPr="00605446">
        <w:t>volený předseda řídí dále jednání podle zákona a v souladu s programem uvedeným na pozvánce na sh</w:t>
      </w:r>
      <w:r w:rsidR="00C3613A">
        <w:t>romáždění (resp. dle programu se schválenými </w:t>
      </w:r>
      <w:r w:rsidR="00605446" w:rsidRPr="00605446">
        <w:t>návrhy</w:t>
      </w:r>
      <w:r w:rsidR="00C3613A">
        <w:t xml:space="preserve"> na doplnění dle čl. II, odst. 3 jednacího řádu). </w:t>
      </w:r>
    </w:p>
    <w:p w:rsidR="00C3613A" w:rsidRDefault="00605446" w:rsidP="006241DE">
      <w:pPr>
        <w:pStyle w:val="Odstavecseseznamem"/>
        <w:numPr>
          <w:ilvl w:val="0"/>
          <w:numId w:val="3"/>
        </w:numPr>
        <w:spacing w:after="0"/>
        <w:jc w:val="both"/>
      </w:pPr>
      <w:r w:rsidRPr="00605446">
        <w:t>Po vyčerpání programu jednání ohlásí předseda konec jednání shromáždění.</w:t>
      </w:r>
    </w:p>
    <w:p w:rsidR="00C3613A" w:rsidRDefault="00C3613A" w:rsidP="00C3613A">
      <w:pPr>
        <w:spacing w:after="0"/>
        <w:ind w:left="360"/>
        <w:jc w:val="both"/>
      </w:pPr>
    </w:p>
    <w:p w:rsidR="00C3613A" w:rsidRPr="00C3613A" w:rsidRDefault="00605446" w:rsidP="00C3613A">
      <w:pPr>
        <w:spacing w:after="0"/>
        <w:ind w:left="360"/>
        <w:jc w:val="center"/>
        <w:rPr>
          <w:b/>
        </w:rPr>
      </w:pPr>
      <w:r w:rsidRPr="00C3613A">
        <w:rPr>
          <w:b/>
        </w:rPr>
        <w:t>III. Uplatňování požadavků a návrhů vlastníka jednotky</w:t>
      </w:r>
    </w:p>
    <w:p w:rsidR="00C3613A" w:rsidRDefault="00C3613A" w:rsidP="00C3613A">
      <w:pPr>
        <w:spacing w:after="0"/>
        <w:jc w:val="both"/>
      </w:pPr>
    </w:p>
    <w:p w:rsidR="00C3613A" w:rsidRDefault="00605446" w:rsidP="00C3613A">
      <w:pPr>
        <w:pStyle w:val="Odstavecseseznamem"/>
        <w:numPr>
          <w:ilvl w:val="0"/>
          <w:numId w:val="5"/>
        </w:numPr>
        <w:spacing w:after="0"/>
        <w:jc w:val="both"/>
      </w:pPr>
      <w:r w:rsidRPr="00605446">
        <w:t>Vlastník jednotky uplatňuje svá práva, například právo požadovat a dostat vysvětlení záležitostí týkajících se společenství, které jsou předmětem jednání shromáždění a uplatňovat návrhy a protinávrhy, a to tím, že je písemně předloží před jednáním shromáždění předsedovi. Požadavek bude adresován Společenství a bude na něm uvedeno jméno, příjmení a podpis vlastníka jednotky. Ústní připomínky a návrhy předkládají vlastní</w:t>
      </w:r>
      <w:r w:rsidR="00C3613A">
        <w:t>ci jednotek</w:t>
      </w:r>
      <w:r w:rsidRPr="00605446">
        <w:t xml:space="preserve"> po přihlášení v diskusi k danému bodu</w:t>
      </w:r>
      <w:r w:rsidR="00C3613A">
        <w:t xml:space="preserve">. </w:t>
      </w:r>
    </w:p>
    <w:p w:rsidR="00C3613A" w:rsidRDefault="00605446" w:rsidP="00C3613A">
      <w:pPr>
        <w:pStyle w:val="Odstavecseseznamem"/>
        <w:numPr>
          <w:ilvl w:val="0"/>
          <w:numId w:val="5"/>
        </w:numPr>
        <w:spacing w:after="0"/>
        <w:jc w:val="both"/>
      </w:pPr>
      <w:r w:rsidRPr="00605446">
        <w:t>Předseda posoudí požadavek vlastníka jednotky uplatněný podle odstavce 1. tohoto článku a v případě oprávněnosti jej zařadí k projednání a to tak, aby byl projednán před hlasováním o usnesení k bodu programu, kterého se požadavek bezprostředně týká. Při hlasování se hlasuje nejprve o pro</w:t>
      </w:r>
      <w:r w:rsidR="00C3613A">
        <w:t xml:space="preserve">tinávrhu vlastníka jednotky. </w:t>
      </w:r>
    </w:p>
    <w:p w:rsidR="00C3613A" w:rsidRDefault="00605446" w:rsidP="00C3613A">
      <w:pPr>
        <w:pStyle w:val="Odstavecseseznamem"/>
        <w:numPr>
          <w:ilvl w:val="0"/>
          <w:numId w:val="5"/>
        </w:numPr>
        <w:spacing w:after="0"/>
        <w:jc w:val="both"/>
      </w:pPr>
      <w:r w:rsidRPr="00605446">
        <w:t xml:space="preserve">Požadavky, na kterých nebude uvedeno jméno, příjmení a podpis </w:t>
      </w:r>
      <w:r w:rsidRPr="00605446">
        <w:lastRenderedPageBreak/>
        <w:t xml:space="preserve">vlastníka jednotky, nebude předseda předkládat k projednání. </w:t>
      </w:r>
    </w:p>
    <w:p w:rsidR="00C3613A" w:rsidRDefault="00605446" w:rsidP="00C3613A">
      <w:pPr>
        <w:pStyle w:val="Odstavecseseznamem"/>
        <w:numPr>
          <w:ilvl w:val="0"/>
          <w:numId w:val="5"/>
        </w:numPr>
        <w:spacing w:after="0"/>
        <w:jc w:val="both"/>
      </w:pPr>
      <w:r w:rsidRPr="00605446">
        <w:t xml:space="preserve">Neuzná-li předseda oprávněnost požadavku vlastníka jednotky podle odstavce 2. tohoto článku, oznámí své rozhodnutí a jeho zdůvodnění v nejbližší vhodnou dobu, </w:t>
      </w:r>
      <w:r w:rsidR="00C3613A">
        <w:t>tedy</w:t>
      </w:r>
      <w:r w:rsidRPr="00605446">
        <w:t xml:space="preserve"> po ukončení právě projednávaného bodu programu. </w:t>
      </w:r>
    </w:p>
    <w:p w:rsidR="00C3613A" w:rsidRDefault="00C3613A" w:rsidP="00C3613A">
      <w:pPr>
        <w:spacing w:after="0"/>
        <w:ind w:left="360"/>
        <w:jc w:val="both"/>
      </w:pPr>
    </w:p>
    <w:p w:rsidR="00C3613A" w:rsidRPr="00C3613A" w:rsidRDefault="00605446" w:rsidP="00C3613A">
      <w:pPr>
        <w:spacing w:after="0"/>
        <w:ind w:left="360"/>
        <w:jc w:val="center"/>
        <w:rPr>
          <w:b/>
        </w:rPr>
      </w:pPr>
      <w:r w:rsidRPr="00C3613A">
        <w:rPr>
          <w:b/>
        </w:rPr>
        <w:t>IV. Hlasování</w:t>
      </w:r>
    </w:p>
    <w:p w:rsidR="00C3613A" w:rsidRDefault="00C3613A" w:rsidP="00C3613A">
      <w:pPr>
        <w:spacing w:after="0"/>
        <w:ind w:left="360"/>
        <w:jc w:val="both"/>
      </w:pPr>
    </w:p>
    <w:p w:rsidR="00C3613A" w:rsidRDefault="00C3613A" w:rsidP="00C3613A">
      <w:pPr>
        <w:pStyle w:val="Odstavecseseznamem"/>
        <w:numPr>
          <w:ilvl w:val="0"/>
          <w:numId w:val="6"/>
        </w:numPr>
        <w:spacing w:after="0"/>
        <w:jc w:val="both"/>
      </w:pPr>
      <w:r w:rsidRPr="00C3613A">
        <w:t>Hlasování je na shromáždění vlastníků jednotek veřejné.</w:t>
      </w:r>
    </w:p>
    <w:p w:rsidR="00C3613A" w:rsidRDefault="00C3613A" w:rsidP="00C3613A">
      <w:pPr>
        <w:pStyle w:val="Odstavecseseznamem"/>
        <w:numPr>
          <w:ilvl w:val="0"/>
          <w:numId w:val="6"/>
        </w:numPr>
        <w:spacing w:after="0"/>
        <w:jc w:val="both"/>
      </w:pPr>
      <w:r w:rsidRPr="00C3613A">
        <w:t>K hlasování vyzývá přítomné vlastníky nebo zástupce předsedající shromáždění po ukončení diskuse k jednotlivým bodům programu.</w:t>
      </w:r>
    </w:p>
    <w:p w:rsidR="00D00A35" w:rsidRDefault="00C3613A" w:rsidP="00C3613A">
      <w:pPr>
        <w:pStyle w:val="Odstavecseseznamem"/>
        <w:numPr>
          <w:ilvl w:val="0"/>
          <w:numId w:val="6"/>
        </w:numPr>
        <w:spacing w:after="0"/>
        <w:jc w:val="both"/>
      </w:pPr>
      <w:r>
        <w:t>Hlasuje se aklamací</w:t>
      </w:r>
      <w:r w:rsidR="00D00A35">
        <w:t>, tedy zvednutím ruky s lístkem, na němž je vyznačen počet hlasů, kterými vlastník disponuje.</w:t>
      </w:r>
    </w:p>
    <w:p w:rsidR="00D00A35" w:rsidRDefault="00D00A35" w:rsidP="00C3613A">
      <w:pPr>
        <w:pStyle w:val="Odstavecseseznamem"/>
        <w:numPr>
          <w:ilvl w:val="0"/>
          <w:numId w:val="6"/>
        </w:numPr>
        <w:spacing w:after="0"/>
        <w:jc w:val="both"/>
      </w:pPr>
      <w:r w:rsidRPr="00D00A35">
        <w:t>Při hlasování o doplnění programu, změně nebo protinávrhu se vždy hlasuje nejdříve o protinávrhu (změně).</w:t>
      </w:r>
    </w:p>
    <w:p w:rsidR="00D00A35" w:rsidRDefault="00605446" w:rsidP="00C3613A">
      <w:pPr>
        <w:pStyle w:val="Odstavecseseznamem"/>
        <w:numPr>
          <w:ilvl w:val="0"/>
          <w:numId w:val="6"/>
        </w:numPr>
        <w:spacing w:after="0"/>
        <w:jc w:val="both"/>
      </w:pPr>
      <w:r w:rsidRPr="00605446">
        <w:t xml:space="preserve">Podle zákona rozhoduje shromáždění prostou většinou hlasů přítomných vlastníků jednotek, není-li k rozhodnutí zapotřebí kvalifikované většiny. </w:t>
      </w:r>
    </w:p>
    <w:p w:rsidR="00D00A35" w:rsidRDefault="00605446" w:rsidP="00D00A35">
      <w:pPr>
        <w:pStyle w:val="Odstavecseseznamem"/>
        <w:numPr>
          <w:ilvl w:val="0"/>
          <w:numId w:val="6"/>
        </w:numPr>
        <w:spacing w:after="0"/>
        <w:jc w:val="both"/>
      </w:pPr>
      <w:r w:rsidRPr="00605446">
        <w:t>Kvalifikovaná většina j</w:t>
      </w:r>
      <w:r w:rsidR="00D00A35">
        <w:t>e zapotřebí v</w:t>
      </w:r>
      <w:r w:rsidR="008B5556">
        <w:t> případech, upravených v zákoně a ve stanovách.</w:t>
      </w:r>
    </w:p>
    <w:p w:rsidR="001F0AB5" w:rsidRDefault="00605446" w:rsidP="00D00A35">
      <w:pPr>
        <w:pStyle w:val="Odstavecseseznamem"/>
        <w:numPr>
          <w:ilvl w:val="0"/>
          <w:numId w:val="6"/>
        </w:numPr>
        <w:spacing w:after="0"/>
        <w:jc w:val="both"/>
      </w:pPr>
      <w:r w:rsidRPr="00605446">
        <w:t xml:space="preserve">Předseda oznámí přijetí či nepřijetí projednávaného usnesení okamžitě po zjištění hlavního skrutátora, jak </w:t>
      </w:r>
      <w:r w:rsidR="001F0AB5">
        <w:t xml:space="preserve">bylo hlasováno. </w:t>
      </w:r>
      <w:r w:rsidRPr="00605446">
        <w:t>Poté bude předseda pokračovat v programu jednání.</w:t>
      </w:r>
    </w:p>
    <w:p w:rsidR="002707AA" w:rsidRDefault="002707AA" w:rsidP="00D00A35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 </w:t>
      </w:r>
      <w:r w:rsidR="00605446" w:rsidRPr="00605446">
        <w:t xml:space="preserve">Celkové výsledky každého z hlasování budou uvedeny do zápisu o hlasování k uvedenému bodu jednání, který potvrdí skrutátoři. Po hlasování bude výsledek sdělen vlastníkům jednotek a zápis připojen k zápisu z jednání </w:t>
      </w:r>
      <w:r>
        <w:t>shromáždění</w:t>
      </w:r>
      <w:r w:rsidR="00605446" w:rsidRPr="00605446">
        <w:t xml:space="preserve">. </w:t>
      </w:r>
    </w:p>
    <w:p w:rsidR="002707AA" w:rsidRDefault="002707AA" w:rsidP="002707AA">
      <w:pPr>
        <w:spacing w:after="0"/>
        <w:jc w:val="both"/>
      </w:pPr>
    </w:p>
    <w:p w:rsidR="00370113" w:rsidRPr="00370113" w:rsidRDefault="00605446" w:rsidP="00370113">
      <w:pPr>
        <w:spacing w:after="0"/>
        <w:jc w:val="center"/>
        <w:rPr>
          <w:b/>
        </w:rPr>
      </w:pPr>
      <w:r w:rsidRPr="00370113">
        <w:rPr>
          <w:b/>
        </w:rPr>
        <w:t>V. Volba výboru společenství</w:t>
      </w:r>
    </w:p>
    <w:p w:rsidR="00370113" w:rsidRDefault="00370113" w:rsidP="002707AA">
      <w:pPr>
        <w:spacing w:after="0"/>
        <w:jc w:val="both"/>
      </w:pPr>
    </w:p>
    <w:p w:rsidR="00370113" w:rsidRDefault="00605446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 xml:space="preserve">Vlastníci jednotek volí podle ustanovení § </w:t>
      </w:r>
      <w:r w:rsidR="00370113">
        <w:t xml:space="preserve">1208 občanského zákoníku </w:t>
      </w:r>
      <w:r w:rsidRPr="00605446">
        <w:t xml:space="preserve">na shromáždění členy výboru společenství. </w:t>
      </w:r>
    </w:p>
    <w:p w:rsidR="00370113" w:rsidRDefault="00605446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 xml:space="preserve">Právo volit mají všichni vlastníci jednotek, kteří disponují vlastnickým právem k jednotce ke dni konání shromáždění. </w:t>
      </w:r>
    </w:p>
    <w:p w:rsidR="00370113" w:rsidRDefault="00605446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>Kandidáty na členy výboru</w:t>
      </w:r>
      <w:r w:rsidR="00C116DA">
        <w:t xml:space="preserve"> </w:t>
      </w:r>
      <w:r w:rsidRPr="00605446">
        <w:t>navrhují vlastníci jednotek buď písemně před jednáním shromáždění</w:t>
      </w:r>
      <w:r w:rsidR="0026558D">
        <w:t>,</w:t>
      </w:r>
      <w:r w:rsidRPr="00605446">
        <w:t xml:space="preserve"> nebo ústně na samotném jednání shromáždění. Kandidát musí projevit výslovný souhlas se svou kandidaturou. </w:t>
      </w:r>
    </w:p>
    <w:p w:rsidR="00370113" w:rsidRDefault="00605446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 xml:space="preserve">Registrovaní kandidáti jsou uvedeni příjmením a jménem na volebním lístku, a to v abecedním pořádku. </w:t>
      </w:r>
    </w:p>
    <w:p w:rsidR="00370113" w:rsidRDefault="00605446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>Volba členů výboru</w:t>
      </w:r>
      <w:r w:rsidR="00E36C9F">
        <w:t xml:space="preserve"> </w:t>
      </w:r>
      <w:r w:rsidRPr="00605446">
        <w:t xml:space="preserve">se provádí na shromáždění </w:t>
      </w:r>
      <w:r w:rsidR="00370113">
        <w:t>aklamací</w:t>
      </w:r>
      <w:r w:rsidR="00C116DA">
        <w:t>.</w:t>
      </w:r>
      <w:r w:rsidRPr="00605446">
        <w:t xml:space="preserve"> </w:t>
      </w:r>
    </w:p>
    <w:p w:rsidR="00370113" w:rsidRDefault="00370113" w:rsidP="00370113">
      <w:pPr>
        <w:pStyle w:val="Odstavecseseznamem"/>
        <w:numPr>
          <w:ilvl w:val="0"/>
          <w:numId w:val="7"/>
        </w:numPr>
        <w:spacing w:after="0"/>
        <w:jc w:val="both"/>
      </w:pPr>
      <w:r>
        <w:t>Hlasuje se vždy o každém kandidátovi jednotlivě.</w:t>
      </w:r>
    </w:p>
    <w:p w:rsidR="00370113" w:rsidRDefault="00370113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370113">
        <w:t>Je-li při volbě statutárních orgánů navrženo více členů než je jejich počet, zvoleni jsou kandidáti, kteří získali nejvyšší počet hlasů.</w:t>
      </w:r>
    </w:p>
    <w:p w:rsidR="00370113" w:rsidRDefault="00370113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370113">
        <w:t>Nelze-li pro rovnost hlasů rozhodnout o zvolení příslušných kandidátů, provede se mezi nimi druhé kolo hlasování.</w:t>
      </w:r>
    </w:p>
    <w:p w:rsidR="00370113" w:rsidRDefault="00370113" w:rsidP="00370113">
      <w:pPr>
        <w:pStyle w:val="Odstavecseseznamem"/>
        <w:numPr>
          <w:ilvl w:val="0"/>
          <w:numId w:val="7"/>
        </w:numPr>
        <w:spacing w:after="0"/>
        <w:jc w:val="both"/>
      </w:pPr>
      <w:r w:rsidRPr="00370113">
        <w:t xml:space="preserve">Procedura odvolání členů statutárních orgánů společenství vlastníků </w:t>
      </w:r>
      <w:r>
        <w:t>je analogická s procesem volby.</w:t>
      </w:r>
    </w:p>
    <w:p w:rsidR="0053003F" w:rsidRDefault="00605446" w:rsidP="006B2D45">
      <w:pPr>
        <w:pStyle w:val="Odstavecseseznamem"/>
        <w:numPr>
          <w:ilvl w:val="0"/>
          <w:numId w:val="7"/>
        </w:numPr>
        <w:spacing w:after="0"/>
        <w:jc w:val="both"/>
      </w:pPr>
      <w:r w:rsidRPr="00605446">
        <w:t>O výsledku voleb sepíše předseda protokol, který podepíš</w:t>
      </w:r>
      <w:r w:rsidR="00370113">
        <w:t>e</w:t>
      </w:r>
      <w:r w:rsidRPr="00605446">
        <w:t xml:space="preserve"> </w:t>
      </w:r>
      <w:r w:rsidR="00370113">
        <w:t xml:space="preserve">skrutátor. </w:t>
      </w:r>
    </w:p>
    <w:p w:rsidR="0053003F" w:rsidRDefault="0053003F" w:rsidP="0053003F">
      <w:pPr>
        <w:spacing w:after="0"/>
        <w:jc w:val="both"/>
      </w:pPr>
    </w:p>
    <w:p w:rsidR="0053003F" w:rsidRDefault="0053003F" w:rsidP="0053003F">
      <w:pPr>
        <w:spacing w:after="0"/>
        <w:jc w:val="both"/>
      </w:pPr>
    </w:p>
    <w:p w:rsidR="0053003F" w:rsidRDefault="0053003F" w:rsidP="0053003F">
      <w:pPr>
        <w:spacing w:after="0"/>
        <w:jc w:val="both"/>
      </w:pPr>
    </w:p>
    <w:p w:rsidR="0053003F" w:rsidRDefault="0053003F" w:rsidP="0053003F">
      <w:pPr>
        <w:spacing w:after="0"/>
        <w:jc w:val="both"/>
      </w:pPr>
    </w:p>
    <w:p w:rsidR="00605446" w:rsidRPr="00605446" w:rsidRDefault="00605446" w:rsidP="0053003F">
      <w:pPr>
        <w:spacing w:after="0"/>
        <w:jc w:val="both"/>
      </w:pPr>
      <w:bookmarkStart w:id="0" w:name="_GoBack"/>
      <w:bookmarkEnd w:id="0"/>
    </w:p>
    <w:sectPr w:rsidR="00605446" w:rsidRPr="00605446" w:rsidSect="00C116D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B3" w:rsidRDefault="00CF71B3" w:rsidP="0072508B">
      <w:pPr>
        <w:spacing w:after="0" w:line="240" w:lineRule="auto"/>
      </w:pPr>
      <w:r>
        <w:separator/>
      </w:r>
    </w:p>
  </w:endnote>
  <w:endnote w:type="continuationSeparator" w:id="0">
    <w:p w:rsidR="00CF71B3" w:rsidRDefault="00CF71B3" w:rsidP="0072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B3" w:rsidRDefault="00CF71B3" w:rsidP="0072508B">
      <w:pPr>
        <w:spacing w:after="0" w:line="240" w:lineRule="auto"/>
      </w:pPr>
      <w:r>
        <w:separator/>
      </w:r>
    </w:p>
  </w:footnote>
  <w:footnote w:type="continuationSeparator" w:id="0">
    <w:p w:rsidR="00CF71B3" w:rsidRDefault="00CF71B3" w:rsidP="0072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877"/>
    <w:multiLevelType w:val="hybridMultilevel"/>
    <w:tmpl w:val="D14AA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F35"/>
    <w:multiLevelType w:val="hybridMultilevel"/>
    <w:tmpl w:val="4A146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1A31"/>
    <w:multiLevelType w:val="hybridMultilevel"/>
    <w:tmpl w:val="FFA02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C0CC3"/>
    <w:multiLevelType w:val="hybridMultilevel"/>
    <w:tmpl w:val="6EE0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6ED9"/>
    <w:multiLevelType w:val="hybridMultilevel"/>
    <w:tmpl w:val="7AB28438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4791938"/>
    <w:multiLevelType w:val="multilevel"/>
    <w:tmpl w:val="24A8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83D2F"/>
    <w:multiLevelType w:val="hybridMultilevel"/>
    <w:tmpl w:val="EE1C3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A41AF"/>
    <w:multiLevelType w:val="hybridMultilevel"/>
    <w:tmpl w:val="102CAD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46"/>
    <w:rsid w:val="000522F8"/>
    <w:rsid w:val="000D7E1E"/>
    <w:rsid w:val="001679C6"/>
    <w:rsid w:val="001D04B6"/>
    <w:rsid w:val="001F0AB5"/>
    <w:rsid w:val="00224B6A"/>
    <w:rsid w:val="00232508"/>
    <w:rsid w:val="00240A43"/>
    <w:rsid w:val="00253A5F"/>
    <w:rsid w:val="00255903"/>
    <w:rsid w:val="0026558D"/>
    <w:rsid w:val="002707AA"/>
    <w:rsid w:val="002A71D7"/>
    <w:rsid w:val="002A7AD3"/>
    <w:rsid w:val="002B0E04"/>
    <w:rsid w:val="002F6439"/>
    <w:rsid w:val="00351921"/>
    <w:rsid w:val="00370113"/>
    <w:rsid w:val="003B7059"/>
    <w:rsid w:val="003C3040"/>
    <w:rsid w:val="003E6FA8"/>
    <w:rsid w:val="0042323B"/>
    <w:rsid w:val="004303AB"/>
    <w:rsid w:val="004309AF"/>
    <w:rsid w:val="00434F9E"/>
    <w:rsid w:val="00442148"/>
    <w:rsid w:val="004714CE"/>
    <w:rsid w:val="004F26C8"/>
    <w:rsid w:val="0053003F"/>
    <w:rsid w:val="00571E24"/>
    <w:rsid w:val="00595DAF"/>
    <w:rsid w:val="005C1C85"/>
    <w:rsid w:val="005D5CDC"/>
    <w:rsid w:val="005F659B"/>
    <w:rsid w:val="00605446"/>
    <w:rsid w:val="006241DE"/>
    <w:rsid w:val="006339FF"/>
    <w:rsid w:val="00651238"/>
    <w:rsid w:val="00663587"/>
    <w:rsid w:val="00665F5D"/>
    <w:rsid w:val="006B2D45"/>
    <w:rsid w:val="006D7694"/>
    <w:rsid w:val="006F3017"/>
    <w:rsid w:val="0072508B"/>
    <w:rsid w:val="00783355"/>
    <w:rsid w:val="00786144"/>
    <w:rsid w:val="007A35A3"/>
    <w:rsid w:val="007E0CA1"/>
    <w:rsid w:val="00805213"/>
    <w:rsid w:val="008229DD"/>
    <w:rsid w:val="008521FA"/>
    <w:rsid w:val="00857E28"/>
    <w:rsid w:val="008A12DA"/>
    <w:rsid w:val="008B5556"/>
    <w:rsid w:val="008B7252"/>
    <w:rsid w:val="008C63FD"/>
    <w:rsid w:val="008E4FBA"/>
    <w:rsid w:val="00914A70"/>
    <w:rsid w:val="00924A0B"/>
    <w:rsid w:val="00937A65"/>
    <w:rsid w:val="00942682"/>
    <w:rsid w:val="009524D7"/>
    <w:rsid w:val="00975B8E"/>
    <w:rsid w:val="009866C2"/>
    <w:rsid w:val="009E607E"/>
    <w:rsid w:val="009F712E"/>
    <w:rsid w:val="00A81DDB"/>
    <w:rsid w:val="00AE2218"/>
    <w:rsid w:val="00B216B1"/>
    <w:rsid w:val="00B82505"/>
    <w:rsid w:val="00C116DA"/>
    <w:rsid w:val="00C1180B"/>
    <w:rsid w:val="00C20578"/>
    <w:rsid w:val="00C3613A"/>
    <w:rsid w:val="00C539E1"/>
    <w:rsid w:val="00C76CFA"/>
    <w:rsid w:val="00CC4F19"/>
    <w:rsid w:val="00CD796E"/>
    <w:rsid w:val="00CF2C52"/>
    <w:rsid w:val="00CF71B3"/>
    <w:rsid w:val="00D00A35"/>
    <w:rsid w:val="00D407E5"/>
    <w:rsid w:val="00D60EFD"/>
    <w:rsid w:val="00D852C2"/>
    <w:rsid w:val="00D877AD"/>
    <w:rsid w:val="00E05A67"/>
    <w:rsid w:val="00E36C9F"/>
    <w:rsid w:val="00EA5312"/>
    <w:rsid w:val="00EE01DD"/>
    <w:rsid w:val="00F13E5F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68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4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2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08B"/>
  </w:style>
  <w:style w:type="paragraph" w:styleId="Zpat">
    <w:name w:val="footer"/>
    <w:basedOn w:val="Normln"/>
    <w:link w:val="ZpatChar"/>
    <w:uiPriority w:val="99"/>
    <w:semiHidden/>
    <w:unhideWhenUsed/>
    <w:rsid w:val="0072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08B"/>
  </w:style>
  <w:style w:type="character" w:styleId="Odkaznakoment">
    <w:name w:val="annotation reference"/>
    <w:basedOn w:val="Standardnpsmoodstavce"/>
    <w:uiPriority w:val="99"/>
    <w:semiHidden/>
    <w:unhideWhenUsed/>
    <w:rsid w:val="00CF2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C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C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C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1" ma:contentTypeDescription="Vytvoří nový dokument" ma:contentTypeScope="" ma:versionID="5df6a0c7ecae6f943442284ff3354e9f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b1fd4a0ccb86d3f2942a712e576beb4d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8CD1308F-EE79-43C6-8EEC-193024AF8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5A334-598B-4FD0-B00B-72814CE67926}"/>
</file>

<file path=customXml/itemProps3.xml><?xml version="1.0" encoding="utf-8"?>
<ds:datastoreItem xmlns:ds="http://schemas.openxmlformats.org/officeDocument/2006/customXml" ds:itemID="{77DFDFAB-27BD-42A7-BDA4-AD59922D712B}"/>
</file>

<file path=customXml/itemProps4.xml><?xml version="1.0" encoding="utf-8"?>
<ds:datastoreItem xmlns:ds="http://schemas.openxmlformats.org/officeDocument/2006/customXml" ds:itemID="{E8AFF22C-C47A-4AE3-99C3-98948A831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2016-03-01T14:55:00Z</dcterms:created>
  <dcterms:modified xsi:type="dcterms:W3CDTF">2016-03-01T14:55:00Z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